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40" w:line="240"/>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ADDITIONAL DISCLOSURES DOCUMENT</w:t>
      </w:r>
    </w:p>
    <w:p>
      <w:pPr>
        <w:spacing w:before="0" w:after="24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If you live or are applying to work for ______________ (the “Company”) in any of the states listed below, read the information that </w:t>
      </w:r>
      <w:r>
        <w:rPr>
          <w:rFonts w:ascii="Calibri" w:hAnsi="Calibri" w:cs="Calibri" w:eastAsia="Calibri"/>
          <w:b/>
          <w:i/>
          <w:color w:val="auto"/>
          <w:spacing w:val="0"/>
          <w:position w:val="0"/>
          <w:sz w:val="22"/>
          <w:shd w:fill="auto" w:val="clear"/>
        </w:rPr>
        <w:t xml:space="preserve">applies to you</w:t>
      </w:r>
      <w:r>
        <w:rPr>
          <w:rFonts w:ascii="Calibri" w:hAnsi="Calibri" w:cs="Calibri" w:eastAsia="Calibri"/>
          <w:b/>
          <w:color w:val="auto"/>
          <w:spacing w:val="0"/>
          <w:position w:val="0"/>
          <w:sz w:val="22"/>
          <w:shd w:fill="auto" w:val="clear"/>
        </w:rPr>
        <w:t xml:space="preserve">.  Proceed to the next document if you do not live in, and are not applying to work in, any of the states listed below.  </w:t>
      </w:r>
    </w:p>
    <w:p>
      <w:pPr>
        <w:spacing w:before="0" w:after="2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consumer reporting agency is Confirmify (“</w:t>
      </w:r>
      <w:r>
        <w:rPr>
          <w:rFonts w:ascii="Calibri" w:hAnsi="Calibri" w:cs="Calibri" w:eastAsia="Calibri"/>
          <w:color w:val="auto"/>
          <w:spacing w:val="0"/>
          <w:position w:val="0"/>
          <w:sz w:val="22"/>
          <w:shd w:fill="FFFFFF" w:val="clear"/>
        </w:rPr>
        <w:t xml:space="preserve">Confirmify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FFFFFF" w:val="clear"/>
        </w:rPr>
        <w:t xml:space="preserve">1601 Weld Rd. Elgin, IL 60123</w:t>
      </w:r>
      <w:r>
        <w:rPr>
          <w:rFonts w:ascii="Calibri" w:hAnsi="Calibri" w:cs="Calibri" w:eastAsia="Calibri"/>
          <w:color w:val="auto"/>
          <w:spacing w:val="0"/>
          <w:position w:val="0"/>
          <w:sz w:val="22"/>
          <w:shd w:fill="auto" w:val="clear"/>
        </w:rPr>
        <w:t xml:space="preserve">; telephone number </w:t>
      </w:r>
      <w:r>
        <w:rPr>
          <w:rFonts w:ascii="Calibri" w:hAnsi="Calibri" w:cs="Calibri" w:eastAsia="Calibri"/>
          <w:color w:val="222222"/>
          <w:spacing w:val="0"/>
          <w:position w:val="0"/>
          <w:sz w:val="22"/>
          <w:shd w:fill="FFFFFF" w:val="clear"/>
        </w:rPr>
        <w:t xml:space="preserve">1-800-497-6516</w:t>
      </w:r>
      <w:r>
        <w:rPr>
          <w:rFonts w:ascii="Calibri" w:hAnsi="Calibri" w:cs="Calibri" w:eastAsia="Calibri"/>
          <w:color w:val="auto"/>
          <w:spacing w:val="0"/>
          <w:position w:val="0"/>
          <w:sz w:val="22"/>
          <w:shd w:fill="auto" w:val="clear"/>
        </w:rPr>
        <w:t xml:space="preserve">; website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www.confirmify.com</w:t>
        </w:r>
      </w:hyperlink>
      <w:r>
        <w:rPr>
          <w:rFonts w:ascii="Calibri" w:hAnsi="Calibri" w:cs="Calibri" w:eastAsia="Calibri"/>
          <w:color w:val="auto"/>
          <w:spacing w:val="0"/>
          <w:position w:val="0"/>
          <w:sz w:val="22"/>
          <w:shd w:fill="auto" w:val="clear"/>
        </w:rPr>
        <w:t xml:space="preserve">. </w:t>
      </w:r>
    </w:p>
    <w:p>
      <w:pPr>
        <w:spacing w:before="0" w:after="2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MASSACHUSETTS</w:t>
      </w:r>
      <w:r>
        <w:rPr>
          <w:rFonts w:ascii="Calibri" w:hAnsi="Calibri" w:cs="Calibri" w:eastAsia="Calibri"/>
          <w:color w:val="auto"/>
          <w:spacing w:val="0"/>
          <w:position w:val="0"/>
          <w:sz w:val="22"/>
          <w:shd w:fill="auto" w:val="clear"/>
        </w:rPr>
        <w:t xml:space="preserve">:  If you contact the Company, you have the right to know whether the Company ordered an investigative consumer report about you.  You also have the right to ask Confirmify for a copy of any such report.</w:t>
      </w:r>
    </w:p>
    <w:p>
      <w:pPr>
        <w:spacing w:before="0" w:after="2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MINNESOTA</w:t>
      </w:r>
      <w:r>
        <w:rPr>
          <w:rFonts w:ascii="Calibri" w:hAnsi="Calibri" w:cs="Calibri" w:eastAsia="Calibri"/>
          <w:color w:val="auto"/>
          <w:spacing w:val="0"/>
          <w:position w:val="0"/>
          <w:sz w:val="22"/>
          <w:shd w:fill="auto" w:val="clear"/>
        </w:rPr>
        <w:t xml:space="preserve">:  You have the right to submit a written request to Confirmify for a complete and accurate disclosure of the nature and scope of any consumer report the Company ordered about you. </w:t>
      </w:r>
      <w:r>
        <w:rPr>
          <w:rFonts w:ascii="Calibri" w:hAnsi="Calibri" w:cs="Calibri" w:eastAsia="Calibri"/>
          <w:color w:val="auto"/>
          <w:spacing w:val="0"/>
          <w:position w:val="0"/>
          <w:sz w:val="22"/>
          <w:shd w:fill="auto" w:val="clear"/>
        </w:rPr>
        <w:t xml:space="preserve">Confirmify</w:t>
      </w:r>
      <w:r>
        <w:rPr>
          <w:rFonts w:ascii="Calibri" w:hAnsi="Calibri" w:cs="Calibri" w:eastAsia="Calibri"/>
          <w:color w:val="auto"/>
          <w:spacing w:val="0"/>
          <w:position w:val="0"/>
          <w:sz w:val="22"/>
          <w:shd w:fill="auto" w:val="clear"/>
        </w:rPr>
        <w:t xml:space="preserve"> must provide you with this disclosure within 5 business days after its receipt of your request or the report was requested by the Company, whichever date is later.</w:t>
      </w:r>
    </w:p>
    <w:p>
      <w:pPr>
        <w:spacing w:before="0" w:after="2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NEW JERSEY</w:t>
      </w:r>
      <w:r>
        <w:rPr>
          <w:rFonts w:ascii="Calibri" w:hAnsi="Calibri" w:cs="Calibri" w:eastAsia="Calibri"/>
          <w:color w:val="auto"/>
          <w:spacing w:val="0"/>
          <w:position w:val="0"/>
          <w:sz w:val="22"/>
          <w:shd w:fill="auto" w:val="clear"/>
        </w:rPr>
        <w:t xml:space="preserve">:  You have the right to submit a request to </w:t>
      </w:r>
      <w:r>
        <w:rPr>
          <w:rFonts w:ascii="Calibri" w:hAnsi="Calibri" w:cs="Calibri" w:eastAsia="Calibri"/>
          <w:color w:val="auto"/>
          <w:spacing w:val="0"/>
          <w:position w:val="0"/>
          <w:sz w:val="22"/>
          <w:shd w:fill="auto" w:val="clear"/>
        </w:rPr>
        <w:t xml:space="preserve">Confirmify</w:t>
      </w:r>
      <w:r>
        <w:rPr>
          <w:rFonts w:ascii="Calibri" w:hAnsi="Calibri" w:cs="Calibri" w:eastAsia="Calibri"/>
          <w:color w:val="auto"/>
          <w:spacing w:val="0"/>
          <w:position w:val="0"/>
          <w:sz w:val="22"/>
          <w:shd w:fill="auto" w:val="clear"/>
        </w:rPr>
        <w:t xml:space="preserve"> for a copy of any investigative consumer report the Company ordered about you.</w:t>
      </w:r>
    </w:p>
    <w:p>
      <w:pPr>
        <w:spacing w:before="0" w:after="2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NEW YORK</w:t>
      </w:r>
      <w:r>
        <w:rPr>
          <w:rFonts w:ascii="Calibri" w:hAnsi="Calibri" w:cs="Calibri" w:eastAsia="Calibri"/>
          <w:color w:val="auto"/>
          <w:spacing w:val="0"/>
          <w:position w:val="0"/>
          <w:sz w:val="22"/>
          <w:shd w:fill="auto" w:val="clear"/>
        </w:rPr>
        <w:t xml:space="preserve">:  If you contact the Company, you have the right to know whether the Company ordered a consumer report or investigative consumer report about you.  Shown above is </w:t>
      </w:r>
      <w:r>
        <w:rPr>
          <w:rFonts w:ascii="Calibri" w:hAnsi="Calibri" w:cs="Calibri" w:eastAsia="Calibri"/>
          <w:color w:val="auto"/>
          <w:spacing w:val="0"/>
          <w:position w:val="0"/>
          <w:sz w:val="22"/>
          <w:shd w:fill="auto" w:val="clear"/>
        </w:rPr>
        <w:t xml:space="preserve">Confirmify's</w:t>
      </w:r>
      <w:r>
        <w:rPr>
          <w:rFonts w:ascii="Calibri" w:hAnsi="Calibri" w:cs="Calibri" w:eastAsia="Calibri"/>
          <w:color w:val="auto"/>
          <w:spacing w:val="0"/>
          <w:position w:val="0"/>
          <w:sz w:val="22"/>
          <w:shd w:fill="auto" w:val="clear"/>
        </w:rPr>
        <w:t xml:space="preserve"> address and telephone number.  You have the right to contact Express to inspect or receive a copy of any such report that the Company ordered from it.  A copy of Article 23-A of the Correction Law is provided below.</w:t>
      </w:r>
    </w:p>
    <w:p>
      <w:pPr>
        <w:spacing w:before="0" w:after="2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WASHINGTON STATE</w:t>
      </w:r>
      <w:r>
        <w:rPr>
          <w:rFonts w:ascii="Calibri" w:hAnsi="Calibri" w:cs="Calibri" w:eastAsia="Calibri"/>
          <w:color w:val="auto"/>
          <w:spacing w:val="0"/>
          <w:position w:val="0"/>
          <w:sz w:val="22"/>
          <w:shd w:fill="auto" w:val="clear"/>
        </w:rPr>
        <w:t xml:space="preserve">:  If you submit a written request to the Company, you have the right to a complete and accurate disclosure of the nature and scope of any investigative consumer report the Company ordered about you.  You are entitled to this disclosure within 5 business days after the date your request is received or the Company ordered the report, whichever is later.  You also have the right to request a written summary of your rights under the Washington Fair Credit Reporting Act.</w:t>
      </w:r>
    </w:p>
    <w:p>
      <w:pPr>
        <w:spacing w:before="0" w:after="24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live or are applying to work for the Company in </w:t>
      </w:r>
      <w:r>
        <w:rPr>
          <w:rFonts w:ascii="Calibri" w:hAnsi="Calibri" w:cs="Calibri" w:eastAsia="Calibri"/>
          <w:b/>
          <w:i/>
          <w:color w:val="auto"/>
          <w:spacing w:val="0"/>
          <w:position w:val="0"/>
          <w:sz w:val="22"/>
          <w:shd w:fill="auto" w:val="clear"/>
        </w:rPr>
        <w:t xml:space="preserve">New York</w:t>
      </w:r>
      <w:r>
        <w:rPr>
          <w:rFonts w:ascii="Calibri" w:hAnsi="Calibri" w:cs="Calibri" w:eastAsia="Calibri"/>
          <w:color w:val="auto"/>
          <w:spacing w:val="0"/>
          <w:position w:val="0"/>
          <w:sz w:val="22"/>
          <w:shd w:fill="auto" w:val="clear"/>
        </w:rPr>
        <w:t xml:space="preserve">, the information below applies to you.</w:t>
      </w:r>
    </w:p>
    <w:p>
      <w:pPr>
        <w:spacing w:before="0" w:after="24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ARTICLE 23-A, NEW YORK STATE CORRECTION LAW</w:t>
      </w:r>
    </w:p>
    <w:tbl>
      <w:tblPr/>
      <w:tblGrid>
        <w:gridCol w:w="5508"/>
        <w:gridCol w:w="5508"/>
      </w:tblGrid>
      <w:tr>
        <w:trPr>
          <w:trHeight w:val="1" w:hRule="atLeast"/>
          <w:jc w:val="left"/>
        </w:trPr>
        <w:tc>
          <w:tcPr>
            <w:tcW w:w="5508"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750.  Definitions</w:t>
            </w:r>
            <w:r>
              <w:rPr>
                <w:rFonts w:ascii="Calibri" w:hAnsi="Calibri" w:cs="Calibri" w:eastAsia="Calibri"/>
                <w:color w:val="auto"/>
                <w:spacing w:val="0"/>
                <w:position w:val="0"/>
                <w:sz w:val="20"/>
                <w:shd w:fill="auto" w:val="clear"/>
              </w:rPr>
              <w:t xml:space="preserve">.  For the purposes of this article, the following  terms shall have the following meanings: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“Public agency” means the state or any local subdivision  thereof, or any state or local department, agency, board or commission.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  “Private employer” means any person, company, corporation, labor organization or association which employs ten or more persons.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“Direct relationship” means that the nature of criminal  conduct for which  the person was convicted has a direct bearing on his fitness or ability to perform one or more of the duties or responsibilities necessarily related to the license, opportunity, or job in question.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  “Employment” means any occupation, vocation or employment, or any form of vocational or educational training.  Provided, however, that “employment” shall not, for the purposes of this article, include membership in any law enforcement agency.</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751.  Applicability</w:t>
            </w:r>
            <w:r>
              <w:rPr>
                <w:rFonts w:ascii="Calibri" w:hAnsi="Calibri" w:cs="Calibri" w:eastAsia="Calibri"/>
                <w:color w:val="auto"/>
                <w:spacing w:val="0"/>
                <w:position w:val="0"/>
                <w:sz w:val="20"/>
                <w:shd w:fill="auto" w:val="clear"/>
              </w:rPr>
              <w:t xml:space="preserve">.  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  752.  Unfair discrimination against persons previously convicted of one or more criminal offenses prohibited</w:t>
            </w:r>
            <w:r>
              <w:rPr>
                <w:rFonts w:ascii="Calibri" w:hAnsi="Calibri" w:cs="Calibri" w:eastAsia="Calibri"/>
                <w:color w:val="auto"/>
                <w:spacing w:val="0"/>
                <w:position w:val="0"/>
                <w:sz w:val="20"/>
                <w:shd w:fill="auto" w:val="clear"/>
              </w:rPr>
              <w:t xml:space="preserve">.  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 “good moral character” when such finding is based upon the fact that the individual has previously been convicted of one or more criminal offenses, unless:</w:t>
            </w:r>
          </w:p>
        </w:tc>
        <w:tc>
          <w:tcPr>
            <w:tcW w:w="5508"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there is a direct relationship between one or more of the previous criminal offenses and the specific license or employment sought or held by the individual; or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 the issuance or continuation of the license or the granting or continuation of the employment would involve an unreasonable risk to property or to the safety or welfare of specific individuals or the general public.</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753.  Factors to be considered concerning a previous criminal conviction; presumption</w:t>
            </w: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In making a determination pursuant to section seven hundred fifty-two of this chapter, the public agency or private employer shall consider the following factors: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The public policy of this state, as expressed in this act, to encourage the licensure and employment of persons previously convicted of one or more criminal offenses.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The specific duties and responsibilities necessarily related to the license or employment sought or held by the person.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  The bearing, if any, the criminal offense or offenses for which the person was previously convicted will have on his fitness or ability to perform one or more such duties or responsibilities.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  The time which has elapsed since the occurrence of the criminal offense or offenses.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 The age of the person at the time of occurrence of the criminal offense or offenses.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 The seriousness of the offense or offenses.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 Any information produced by the person, or produced on his behalf, in regard to his rehabilitation and good conduct.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  The legitimate interest of the public agency or private employer in protecting property, and the safety and welfare  of specific individuals or the general public.</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754.  Written statement upon denial of license or employment</w:t>
            </w:r>
            <w:r>
              <w:rPr>
                <w:rFonts w:ascii="Calibri" w:hAnsi="Calibri" w:cs="Calibri" w:eastAsia="Calibri"/>
                <w:color w:val="auto"/>
                <w:spacing w:val="0"/>
                <w:position w:val="0"/>
                <w:sz w:val="20"/>
                <w:shd w:fill="auto" w:val="clear"/>
              </w:rPr>
              <w:t xml:space="preserve">.  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755.  Enforcement.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In relation to actions by public agencies, the provisions of this article shall be enforceable by a proceeding brought pursuant to article seventy-eight of the civil practice law and rules.</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16"/>
          <w:shd w:fill="auto" w:val="clear"/>
        </w:rPr>
        <w:t xml:space="preserve">THE REMAINDER OF THIS DOCUMENT IS INTENTIONALLY BLANK.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onfirmify.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